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2B" w:rsidRPr="00BE0E39" w:rsidRDefault="003D5A6D" w:rsidP="00937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513F20">
        <w:rPr>
          <w:rFonts w:ascii="Times New Roman" w:hAnsi="Times New Roman" w:cs="Times New Roman"/>
          <w:b/>
          <w:sz w:val="24"/>
          <w:szCs w:val="24"/>
        </w:rPr>
        <w:t>составить краткий конспект.</w:t>
      </w:r>
    </w:p>
    <w:p w:rsidR="00513F20" w:rsidRDefault="004D0D2B" w:rsidP="00513F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3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513F20" w:rsidRPr="00513F20">
        <w:rPr>
          <w:rFonts w:ascii="Times New Roman" w:hAnsi="Times New Roman" w:cs="Times New Roman"/>
          <w:b/>
          <w:sz w:val="24"/>
          <w:szCs w:val="24"/>
        </w:rPr>
        <w:t>Основные сведения о химических источниках электрической</w:t>
      </w:r>
      <w:r w:rsidR="00513F20">
        <w:rPr>
          <w:rFonts w:ascii="Times New Roman" w:hAnsi="Times New Roman" w:cs="Times New Roman"/>
          <w:b/>
          <w:sz w:val="24"/>
          <w:szCs w:val="24"/>
        </w:rPr>
        <w:t xml:space="preserve"> энергии</w:t>
      </w:r>
    </w:p>
    <w:p w:rsidR="00513F20" w:rsidRPr="00513F20" w:rsidRDefault="00513F20" w:rsidP="00513F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F20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Химическими источниками тока называются устройства, с помощью которых химическая энергия </w:t>
      </w:r>
      <w:proofErr w:type="spellStart"/>
      <w:r w:rsidRPr="00513F20">
        <w:rPr>
          <w:rFonts w:ascii="Times New Roman" w:hAnsi="Times New Roman" w:cs="Times New Roman"/>
          <w:color w:val="000000"/>
          <w:sz w:val="24"/>
          <w:szCs w:val="24"/>
        </w:rPr>
        <w:t>пространственно</w:t>
      </w:r>
      <w:proofErr w:type="spellEnd"/>
      <w:r w:rsidRPr="00513F20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разделенных </w:t>
      </w:r>
      <w:proofErr w:type="spellStart"/>
      <w:r w:rsidRPr="00513F20">
        <w:rPr>
          <w:rFonts w:ascii="Times New Roman" w:hAnsi="Times New Roman" w:cs="Times New Roman"/>
          <w:color w:val="000000"/>
          <w:sz w:val="24"/>
          <w:szCs w:val="24"/>
        </w:rPr>
        <w:t>окисли</w:t>
      </w:r>
      <w:r w:rsidRPr="00513F20">
        <w:rPr>
          <w:rFonts w:ascii="Times New Roman" w:hAnsi="Times New Roman" w:cs="Times New Roman"/>
          <w:color w:val="000000"/>
          <w:sz w:val="24"/>
          <w:szCs w:val="24"/>
        </w:rPr>
        <w:softHyphen/>
        <w:t>тельно-восстановительных</w:t>
      </w:r>
      <w:proofErr w:type="spellEnd"/>
      <w:r w:rsidRPr="00513F20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превращается в электриче</w:t>
      </w:r>
      <w:r w:rsidRPr="00513F20">
        <w:rPr>
          <w:rFonts w:ascii="Times New Roman" w:hAnsi="Times New Roman" w:cs="Times New Roman"/>
          <w:color w:val="000000"/>
          <w:sz w:val="24"/>
          <w:szCs w:val="24"/>
        </w:rPr>
        <w:softHyphen/>
        <w:t>скую. Процесс превращения химической энергии в электрическую в химическом источнике тока называется разрядом.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По характеру работы все известные х</w:t>
      </w:r>
      <w:r>
        <w:rPr>
          <w:color w:val="000000"/>
        </w:rPr>
        <w:t>имические источники тока делят н</w:t>
      </w:r>
      <w:r w:rsidRPr="00513F20">
        <w:rPr>
          <w:color w:val="000000"/>
        </w:rPr>
        <w:t>а две группы: первичные элементы, или первичные источни</w:t>
      </w:r>
      <w:r w:rsidRPr="00513F20">
        <w:rPr>
          <w:color w:val="000000"/>
        </w:rPr>
        <w:softHyphen/>
        <w:t>ки тока, и электрические аккумуляторы, или вторичные источники тока.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К группе первичных химических источников тока относят уст</w:t>
      </w:r>
      <w:r w:rsidRPr="00513F20">
        <w:rPr>
          <w:color w:val="000000"/>
        </w:rPr>
        <w:softHyphen/>
        <w:t>ройства, которые допускают лишь однократное использование за</w:t>
      </w:r>
      <w:r w:rsidRPr="00513F20">
        <w:rPr>
          <w:color w:val="000000"/>
        </w:rPr>
        <w:softHyphen/>
        <w:t>ключенных в них активных материалов. При этом отдача электри</w:t>
      </w:r>
      <w:r w:rsidRPr="00513F20">
        <w:rPr>
          <w:color w:val="000000"/>
        </w:rPr>
        <w:softHyphen/>
        <w:t xml:space="preserve">ческой энергии может быть осуществлена в один непрерывный разряд или в несколько приемов (прерывистый разряд). Полностью разряженный первичный элемент к дальнейшей работе непригоден. Первичные химические источники тока, в свою очередь, делят на две группы: элементы с жидким электролитом и сухие элементы, содержащие </w:t>
      </w:r>
      <w:proofErr w:type="spellStart"/>
      <w:r w:rsidRPr="00513F20">
        <w:rPr>
          <w:color w:val="000000"/>
        </w:rPr>
        <w:t>невыливающийся</w:t>
      </w:r>
      <w:proofErr w:type="spellEnd"/>
      <w:r w:rsidRPr="00513F20">
        <w:rPr>
          <w:color w:val="000000"/>
        </w:rPr>
        <w:t xml:space="preserve"> электролит.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Вторичными химическими источниками тока, или электрически</w:t>
      </w:r>
      <w:r w:rsidRPr="00513F20">
        <w:rPr>
          <w:color w:val="000000"/>
        </w:rPr>
        <w:softHyphen/>
        <w:t>ми аккумуляторами, называются такие источники тока, работоспо</w:t>
      </w:r>
      <w:r w:rsidRPr="00513F20">
        <w:rPr>
          <w:color w:val="000000"/>
        </w:rPr>
        <w:softHyphen/>
        <w:t>собность которых после разряда может быть восстановлена путем заряда, т. е. пропусканием постоянного электрического тока через аккумулятор в направлении, противоположном тому, в котором про</w:t>
      </w:r>
      <w:r w:rsidRPr="00513F20">
        <w:rPr>
          <w:color w:val="000000"/>
        </w:rPr>
        <w:softHyphen/>
        <w:t>текал ток при разряде.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Если разряд аккумулятора вызывает превращение химической энергии в электрическую, а активные (исходные) вещества перехо</w:t>
      </w:r>
      <w:r w:rsidRPr="00513F20">
        <w:rPr>
          <w:color w:val="000000"/>
        </w:rPr>
        <w:softHyphen/>
        <w:t>дят в продукты разряда, то заряд аккумулятора, наоборот, превра</w:t>
      </w:r>
      <w:r w:rsidRPr="00513F20">
        <w:rPr>
          <w:color w:val="000000"/>
        </w:rPr>
        <w:softHyphen/>
        <w:t>щает электрическую энергию в химическую, а продукты разряда — в первоначальные активные вещества.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Термин «аккумулятор» буквально означает накопитель, в нем электрическая энергия накапливается в виде химической энергии, с тем чтобы быть использованной впоследствии, когда это будет необходимо.</w:t>
      </w:r>
    </w:p>
    <w:p w:rsidR="00513F20" w:rsidRPr="00513F20" w:rsidRDefault="00513F20" w:rsidP="00513F20">
      <w:pPr>
        <w:pStyle w:val="a9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513F20">
        <w:rPr>
          <w:color w:val="000000"/>
        </w:rPr>
        <w:t>Конструктивное выполнение химических источников тока может быть самым различным, но в принципе</w:t>
      </w:r>
      <w:r>
        <w:rPr>
          <w:color w:val="000000"/>
        </w:rPr>
        <w:t>,</w:t>
      </w:r>
      <w:r w:rsidRPr="00513F20">
        <w:rPr>
          <w:color w:val="000000"/>
        </w:rPr>
        <w:t xml:space="preserve"> как первичные элементы, так и аккумуляторы состоят из двух электродов противоположных знаков, разделенных слоем электролита.</w:t>
      </w:r>
    </w:p>
    <w:tbl>
      <w:tblPr>
        <w:tblW w:w="142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5"/>
      </w:tblGrid>
      <w:tr w:rsidR="00513F20" w:rsidRPr="00513F20" w:rsidTr="00513F2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513F20" w:rsidRPr="00513F20">
              <w:trPr>
                <w:tblCellSpacing w:w="0" w:type="dxa"/>
                <w:jc w:val="center"/>
              </w:trPr>
              <w:tc>
                <w:tcPr>
                  <w:tcW w:w="13500" w:type="dxa"/>
                  <w:hideMark/>
                </w:tcPr>
                <w:tbl>
                  <w:tblPr>
                    <w:tblW w:w="47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6"/>
                    <w:gridCol w:w="64"/>
                  </w:tblGrid>
                  <w:tr w:rsidR="00513F20" w:rsidRPr="00513F20" w:rsidTr="00513F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DFDFD"/>
                        <w:tcMar>
                          <w:top w:w="15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630" w:right="164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Принцип работы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630" w:right="164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Окислительно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-восстановительная реакция, протекающая между веществами, обладающими свойствами окислителя и восстановителя, сопровождаются выделением электронов, движение которых образует электрический ток. Однако, чтобы использовать его энергию, необходимо создать условия для прохождения электронов через внешнюю цепь, в противном случае она при простом смешивании окислителя и восстановителя выделяется во внешнюю среду теплом.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630" w:right="1644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Поэтому все химические источники тока имеют два электрода:</w:t>
                        </w:r>
                      </w:p>
                      <w:p w:rsidR="00513F20" w:rsidRPr="00B038D2" w:rsidRDefault="00513F20" w:rsidP="00B038D2">
                        <w:pPr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uto"/>
                          <w:ind w:left="1630" w:right="1644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анод, на котором происходит окисление;</w:t>
                        </w:r>
                      </w:p>
                      <w:p w:rsidR="00513F20" w:rsidRPr="00B038D2" w:rsidRDefault="00513F20" w:rsidP="00B038D2">
                        <w:pPr>
                          <w:numPr>
                            <w:ilvl w:val="0"/>
                            <w:numId w:val="25"/>
                          </w:numPr>
                          <w:spacing w:before="100" w:beforeAutospacing="1" w:after="100" w:afterAutospacing="1" w:line="240" w:lineRule="auto"/>
                          <w:ind w:left="1630" w:right="1644" w:firstLine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катод, осуществляющий восстановление вещества.</w:t>
                        </w:r>
                      </w:p>
                      <w:p w:rsidR="00513F20" w:rsidRPr="00513F20" w:rsidRDefault="00513F20" w:rsidP="00B038D2">
                        <w:pPr>
                          <w:spacing w:before="100" w:beforeAutospacing="1" w:after="100" w:afterAutospacing="1" w:line="240" w:lineRule="auto"/>
                          <w:ind w:left="1630" w:right="1644"/>
                          <w:jc w:val="both"/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Электроды на расстоянии помещены в сосуд с электролитом — веществом, проводящим электрический ток за счет процессов диссоциации среды на ионы</w:t>
                        </w:r>
                        <w:r w:rsidRPr="00513F20"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30"/>
                            <w:szCs w:val="30"/>
                            <w:lang w:eastAsia="ru-RU"/>
                          </w:rPr>
                          <w:t>.</w:t>
                        </w:r>
                      </w:p>
                      <w:p w:rsidR="00513F20" w:rsidRPr="00513F20" w:rsidRDefault="00513F20" w:rsidP="00513F20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606D77"/>
                            <w:sz w:val="18"/>
                            <w:szCs w:val="18"/>
                            <w:lang w:eastAsia="ru-RU"/>
                          </w:rPr>
                        </w:pPr>
                        <w:r w:rsidRPr="00513F20">
                          <w:rPr>
                            <w:rFonts w:ascii="Verdana" w:eastAsia="Times New Roman" w:hAnsi="Verdana" w:cs="Arial"/>
                            <w:noProof/>
                            <w:color w:val="606D77"/>
                            <w:sz w:val="18"/>
                            <w:szCs w:val="18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5F40CE19" wp14:editId="08CF2F5E">
                              <wp:extent cx="4267200" cy="3152775"/>
                              <wp:effectExtent l="0" t="0" r="0" b="9525"/>
                              <wp:docPr id="720" name="Рисунок 1" descr="Принцип преобразования химической энергии в электрическую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ринцип преобразования химической энергии в электрическую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67200" cy="3152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Принцип преобразования химической энергии в электрическую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рисунке показано, что электроды размещены в отдельных сосудах, соединенных солевым мостиком, через который создается движение ионов по внутренней цепи. Когда внешняя и внутренняя цепь разомкнуты, то на электродах протекают два процесса: переход ионов из металла электрода в электролит и переход ионов из электролита в кристаллическую решетку электродов.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Скорости протекания этих процессов одинаковы и на каждом электроде накапливаются потенциалы напряжения противоположных знаков. Если их соединить через солевой мостик и приложить нагрузку, то возникнет электрическая цепь. По внутреннему контуру электрический ток создается движением ионов между электродами через электролит и солевой мостик. По внешней цепи возникает движение электронов по направлению от анода на катод.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Практически все 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окислительно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-восстановительные реакции сопровождаются выработкой электроэнергии. Но ее величина зависит от многих факторов, включающих объемы и массы используемых химических веществ, примененных материалов для изготовления электродов, типа электролита, концентрации ионов, конструкции.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Наибольшее применение в современных химических источниках тока нашли:</w:t>
                        </w:r>
                      </w:p>
                      <w:p w:rsidR="00513F20" w:rsidRPr="00B038D2" w:rsidRDefault="00513F20" w:rsidP="00513F20">
                        <w:pPr>
                          <w:numPr>
                            <w:ilvl w:val="0"/>
                            <w:numId w:val="26"/>
                          </w:num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для материала анода (восстановителя) — цинк (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Zn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), свинец (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Pb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), кадмий (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Cd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) и некоторые другие металлы;</w:t>
                        </w:r>
                      </w:p>
                      <w:p w:rsidR="00513F20" w:rsidRPr="00B038D2" w:rsidRDefault="00513F20" w:rsidP="00513F20">
                        <w:pPr>
                          <w:numPr>
                            <w:ilvl w:val="0"/>
                            <w:numId w:val="26"/>
                          </w:num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для материала катода (окислителя) — оксид свинца PbO2, оксид марганца MnO2, 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гидроксооксид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никеля 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NiOOH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и другие;</w:t>
                        </w:r>
                      </w:p>
                      <w:p w:rsidR="00513F20" w:rsidRPr="00B038D2" w:rsidRDefault="00513F20" w:rsidP="00513F20">
                        <w:pPr>
                          <w:numPr>
                            <w:ilvl w:val="0"/>
                            <w:numId w:val="26"/>
                          </w:num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электролиты на основе растворов кислот, щелочей или соли.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Способы классификации</w:t>
                        </w:r>
                      </w:p>
                      <w:p w:rsidR="00513F20" w:rsidRPr="00B038D2" w:rsidRDefault="00513F20" w:rsidP="00513F20">
                        <w:pPr>
                          <w:spacing w:before="100" w:beforeAutospacing="1" w:after="100" w:afterAutospacing="1" w:line="240" w:lineRule="auto"/>
                          <w:ind w:left="1347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Одна часть химических источников тока может повторно использоваться, а другая нет. Этот принцип взят за основу их классификации.</w:t>
                        </w:r>
                      </w:p>
                      <w:p w:rsidR="00513F20" w:rsidRPr="00513F20" w:rsidRDefault="00513F20" w:rsidP="00513F20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606D77"/>
                            <w:sz w:val="18"/>
                            <w:szCs w:val="18"/>
                            <w:lang w:eastAsia="ru-RU"/>
                          </w:rPr>
                        </w:pPr>
                        <w:r w:rsidRPr="00513F20">
                          <w:rPr>
                            <w:rFonts w:ascii="Verdana" w:eastAsia="Times New Roman" w:hAnsi="Verdana" w:cs="Arial"/>
                            <w:noProof/>
                            <w:color w:val="606D77"/>
                            <w:sz w:val="18"/>
                            <w:szCs w:val="18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542F8420" wp14:editId="24D6A9F5">
                              <wp:extent cx="4752975" cy="2228850"/>
                              <wp:effectExtent l="0" t="0" r="9525" b="0"/>
                              <wp:docPr id="721" name="Рисунок 721" descr="Классификация химических элемент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Классификация химических элемент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2975" cy="222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Классификация химических элементов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Электродвижущая сила </w:t>
                        </w:r>
                        <w:hyperlink r:id="rId7" w:history="1">
                          <w:r w:rsidRPr="00B038D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гальванических элементов</w:t>
                          </w:r>
                        </w:hyperlink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 в зависимости от конструкции, достигает 1,2÷1,5 вольта. Для получения больших значений их объединяют в батареи, соединяя последовательно. При параллельном подключении батарей увеличивается ток и мощность.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Принято считать, что первичные химические источники тока не поддерживают повторную зарядку, хотя более точно это положение можно сформулировать по-другому: ее проведение экономически не целесообразно.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Резервные первичные химические источники тока хранятся в состоянии, когда электролит изолирован от электродов. Это исключает протекание </w:t>
                        </w:r>
                        <w:proofErr w:type="spellStart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окислительно</w:t>
                        </w:r>
                        <w:proofErr w:type="spellEnd"/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-восстановительной реакции и обеспечивает готовность к вводу в работу. Они не используются повторно. Срок хранения резервных химических источников тока ограничен в 10÷15 лет.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Аккумуляторы успешно перезаряжаются приложением внешней электрической энергии. Благодаря этой возможности их называют вторичными источниками тока. Они способны выдерживать сотни и тысячи циклов заряда-разряда. ЭДС аккумулятора может быть в пределах 1,0÷1,5 вольта. Их тоже объединяют в батареи.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Электрохимические генераторы работают по принципу гальванических элементов, но у них для проведения электрохимической реакции вещества поступают извне, а все выделяющиеся продукты удаляются из электролита. Это позволяет организовать непрерывный процесс.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Основные рабочие характеристики химических источников тока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1. Величина напряжения на разомкнутых клеммах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 зависимости от конструкции единичный источник может создавать только определенную разность потенциалов. Для использования в электрических устройствах их объединяют в батареи.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2. Удельная емкость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 определенное время (в часах) один химический источник тока может выработать ограниченное количество тока (в амперах), которые относят к единице веса либо объема.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3. Удельная мощность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Характеризует способность единицы веса или объема химического источника тока вырабатывать мощность, образованную произведением напряжения на силу тока.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4. Продолжительность эксплуатации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Еще этот параметр называют сроком годности.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5. Значение токов саморазряда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Эти побочные процессы электрохимических реакций приводят к расходу активной массы элементов, вызывают коррозию, снижают удельную емкость.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6. Цена на изделие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Зависит от конструкции, применяемых материалов и ряда других факторов.</w:t>
                        </w:r>
                      </w:p>
                      <w:p w:rsidR="00513F20" w:rsidRPr="00B038D2" w:rsidRDefault="00513F20" w:rsidP="00B038D2">
                        <w:pPr>
                          <w:spacing w:before="100" w:beforeAutospacing="1" w:after="100" w:afterAutospacing="1" w:line="240" w:lineRule="auto"/>
                          <w:ind w:left="1488" w:right="136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038D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Лучшими химическими источниками тока считаются те, у которых высокие значения первых четырех параметров, а саморазряд и стоимость низкие.</w:t>
                        </w:r>
                      </w:p>
                      <w:p w:rsidR="00513F20" w:rsidRPr="00513F20" w:rsidRDefault="00513F20" w:rsidP="00513F20">
                        <w:pPr>
                          <w:spacing w:after="0" w:line="240" w:lineRule="atLeast"/>
                          <w:jc w:val="center"/>
                          <w:rPr>
                            <w:rFonts w:ascii="Segoe UI" w:eastAsia="Times New Roman" w:hAnsi="Segoe UI" w:cs="Segoe UI"/>
                            <w:color w:val="FFFFFF"/>
                            <w:sz w:val="27"/>
                            <w:szCs w:val="27"/>
                            <w:lang w:eastAsia="ru-RU"/>
                          </w:rPr>
                        </w:pPr>
                        <w:r w:rsidRPr="00513F20">
                          <w:rPr>
                            <w:rFonts w:ascii="Segoe UI" w:eastAsia="Times New Roman" w:hAnsi="Segoe UI" w:cs="Segoe UI"/>
                            <w:color w:val="FFFFFF"/>
                            <w:sz w:val="27"/>
                            <w:szCs w:val="27"/>
                            <w:lang w:eastAsia="ru-RU"/>
                          </w:rPr>
                          <w:t>Включить звук</w:t>
                        </w:r>
                      </w:p>
                      <w:p w:rsidR="00513F20" w:rsidRPr="00513F20" w:rsidRDefault="00513F20" w:rsidP="00513F20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Arial"/>
                            <w:color w:val="606D77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13"/>
                          <w:gridCol w:w="6313"/>
                        </w:tblGrid>
                        <w:tr w:rsidR="00513F20" w:rsidRPr="00513F2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3F20" w:rsidRPr="00513F20" w:rsidRDefault="00513F20" w:rsidP="00B038D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13F20" w:rsidRPr="00513F20" w:rsidRDefault="00513F20" w:rsidP="00513F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13F20" w:rsidRPr="00513F20" w:rsidRDefault="00513F20" w:rsidP="00513F20">
                        <w:pPr>
                          <w:spacing w:after="0" w:line="240" w:lineRule="atLeast"/>
                          <w:jc w:val="both"/>
                          <w:rPr>
                            <w:rFonts w:ascii="Verdana" w:eastAsia="Times New Roman" w:hAnsi="Verdana" w:cs="Arial"/>
                            <w:color w:val="606D77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DFDFD"/>
                        <w:tcMar>
                          <w:top w:w="150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513F20" w:rsidRPr="00513F20" w:rsidRDefault="00513F20" w:rsidP="00513F20">
                        <w:pPr>
                          <w:spacing w:after="0" w:line="240" w:lineRule="atLeast"/>
                          <w:jc w:val="both"/>
                          <w:rPr>
                            <w:rFonts w:ascii="Verdana" w:eastAsia="Times New Roman" w:hAnsi="Verdana" w:cs="Times New Roman"/>
                            <w:color w:val="606D77"/>
                            <w:sz w:val="18"/>
                            <w:szCs w:val="18"/>
                            <w:lang w:eastAsia="ru-RU"/>
                          </w:rPr>
                        </w:pPr>
                        <w:r w:rsidRPr="00513F20">
                          <w:rPr>
                            <w:rFonts w:ascii="Verdana" w:eastAsia="Times New Roman" w:hAnsi="Verdana" w:cs="Times New Roman"/>
                            <w:color w:val="606D77"/>
                            <w:sz w:val="18"/>
                            <w:szCs w:val="18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13F20" w:rsidRPr="00513F20" w:rsidRDefault="00513F20" w:rsidP="00513F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  <w:p w:rsidR="00513F20" w:rsidRPr="00513F20" w:rsidRDefault="00513F20" w:rsidP="00513F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  <w:r w:rsidRPr="00513F20"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  <w:br/>
                  </w:r>
                </w:p>
              </w:tc>
            </w:tr>
          </w:tbl>
          <w:p w:rsidR="00513F20" w:rsidRPr="00513F20" w:rsidRDefault="00513F20" w:rsidP="00513F2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5"/>
            </w:tblGrid>
            <w:tr w:rsidR="00513F20" w:rsidRPr="00513F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3F20" w:rsidRPr="00513F20" w:rsidRDefault="00513F20" w:rsidP="00B038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51515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513F20" w:rsidRPr="00513F20" w:rsidRDefault="00513F20" w:rsidP="00513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13F20" w:rsidRPr="00513F20" w:rsidRDefault="00513F20" w:rsidP="00513F20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6D" w:rsidRDefault="003D5A6D" w:rsidP="003D5A6D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5A6D" w:rsidRDefault="003D5A6D" w:rsidP="003D5A6D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D5A6D" w:rsidRPr="00B75FE0" w:rsidRDefault="003D5A6D" w:rsidP="003D5A6D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5FE0">
        <w:rPr>
          <w:rFonts w:ascii="Times New Roman" w:eastAsia="Calibri" w:hAnsi="Times New Roman" w:cs="Times New Roman"/>
          <w:b/>
          <w:bCs/>
          <w:sz w:val="28"/>
          <w:szCs w:val="28"/>
        </w:rPr>
        <w:t>Частоедов</w:t>
      </w:r>
      <w:proofErr w:type="spellEnd"/>
      <w:r w:rsidRPr="00B75F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 </w:t>
      </w:r>
      <w:r w:rsidRPr="00B75FE0">
        <w:rPr>
          <w:rFonts w:ascii="Times New Roman" w:eastAsia="Calibri" w:hAnsi="Times New Roman" w:cs="Times New Roman"/>
          <w:sz w:val="28"/>
          <w:szCs w:val="28"/>
        </w:rPr>
        <w:t>Электротехника: Учебное пособие. — М.: ФГБОУ ДПО «</w:t>
      </w:r>
      <w:proofErr w:type="spellStart"/>
      <w:r w:rsidRPr="00B75FE0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B75FE0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транспорте», 2011. — 402 с. </w:t>
      </w:r>
      <w:r w:rsidR="00B038D2">
        <w:rPr>
          <w:rFonts w:ascii="Times New Roman" w:eastAsia="Calibri" w:hAnsi="Times New Roman" w:cs="Times New Roman"/>
          <w:sz w:val="28"/>
          <w:szCs w:val="28"/>
        </w:rPr>
        <w:t>Стр. 100 - 104</w:t>
      </w:r>
    </w:p>
    <w:p w:rsidR="003D5A6D" w:rsidRPr="00B75FE0" w:rsidRDefault="003D5A6D" w:rsidP="003D5A6D">
      <w:pPr>
        <w:spacing w:after="160" w:line="240" w:lineRule="auto"/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r w:rsidRPr="00B75FE0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Задани</w:t>
      </w:r>
      <w:r w:rsidR="00B038D2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е должно быть выполнено до 15.01</w:t>
      </w:r>
      <w:bookmarkStart w:id="0" w:name="_GoBack"/>
      <w:bookmarkEnd w:id="0"/>
      <w:r w:rsidRPr="00B75FE0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B75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8" w:history="1"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B75FE0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5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ahoma" w:eastAsia="Calibri" w:hAnsi="Tahoma" w:cs="Tahoma"/>
          <w:sz w:val="24"/>
          <w:szCs w:val="24"/>
        </w:rPr>
        <w:t>﻿</w:t>
      </w:r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Яна </w:t>
      </w:r>
      <w:proofErr w:type="spellStart"/>
      <w:r w:rsidRPr="00B75FE0">
        <w:rPr>
          <w:rFonts w:ascii="Times New Roman" w:eastAsia="Calibri" w:hAnsi="Times New Roman" w:cs="Times New Roman"/>
          <w:sz w:val="24"/>
          <w:szCs w:val="24"/>
        </w:rPr>
        <w:t>Макшанова</w:t>
      </w:r>
      <w:proofErr w:type="spellEnd"/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B75FE0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  <w:r w:rsidRPr="00B75F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Тема: Конференция. Организатор </w:t>
      </w:r>
      <w:proofErr w:type="spellStart"/>
      <w:r w:rsidRPr="00B75FE0">
        <w:rPr>
          <w:rFonts w:ascii="Times New Roman" w:eastAsia="Calibri" w:hAnsi="Times New Roman" w:cs="Times New Roman"/>
          <w:sz w:val="24"/>
          <w:szCs w:val="24"/>
        </w:rPr>
        <w:t>Макшанова</w:t>
      </w:r>
      <w:proofErr w:type="spellEnd"/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 Яна Евгеньевна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Время: Это регулярная конференция </w:t>
      </w:r>
      <w:proofErr w:type="gramStart"/>
      <w:r w:rsidRPr="00B75FE0">
        <w:rPr>
          <w:rFonts w:ascii="Times New Roman" w:eastAsia="Calibri" w:hAnsi="Times New Roman" w:cs="Times New Roman"/>
          <w:sz w:val="24"/>
          <w:szCs w:val="24"/>
        </w:rPr>
        <w:t>Начать</w:t>
      </w:r>
      <w:proofErr w:type="gramEnd"/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 в любое время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B75FE0">
        <w:rPr>
          <w:rFonts w:ascii="Times New Roman" w:eastAsia="Calibri" w:hAnsi="Times New Roman" w:cs="Times New Roman"/>
          <w:sz w:val="24"/>
          <w:szCs w:val="24"/>
        </w:rPr>
        <w:t>Zoom</w:t>
      </w:r>
      <w:proofErr w:type="spellEnd"/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>https://us04web.zoom.us/j/4306900057?pwd=Y1FBWkRwTzBiTmx4blhMMFNPQmV4Zz09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>Идентификатор конференции: 430 690 0057</w:t>
      </w:r>
    </w:p>
    <w:p w:rsidR="003D5A6D" w:rsidRPr="00B75FE0" w:rsidRDefault="003D5A6D" w:rsidP="003D5A6D">
      <w:pPr>
        <w:widowControl w:val="0"/>
        <w:tabs>
          <w:tab w:val="num" w:pos="-212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E0">
        <w:rPr>
          <w:rFonts w:ascii="Times New Roman" w:eastAsia="Calibri" w:hAnsi="Times New Roman" w:cs="Times New Roman"/>
          <w:sz w:val="24"/>
          <w:szCs w:val="24"/>
        </w:rPr>
        <w:t>Код доступа: 1111111</w:t>
      </w:r>
    </w:p>
    <w:p w:rsidR="003D5A6D" w:rsidRPr="00B75FE0" w:rsidRDefault="003D5A6D" w:rsidP="003D5A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3D5A6D" w:rsidRPr="00B75FE0" w:rsidRDefault="003D5A6D" w:rsidP="003D5A6D">
      <w:pPr>
        <w:rPr>
          <w:rFonts w:ascii="Times New Roman" w:hAnsi="Times New Roman" w:cs="Times New Roman"/>
          <w:sz w:val="28"/>
          <w:szCs w:val="28"/>
        </w:rPr>
      </w:pPr>
    </w:p>
    <w:p w:rsidR="00BE0E39" w:rsidRPr="003D6379" w:rsidRDefault="00BE0E39" w:rsidP="007A36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0E39" w:rsidRPr="003D6379" w:rsidSect="00FD310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D93"/>
    <w:multiLevelType w:val="multilevel"/>
    <w:tmpl w:val="A34E6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6F64"/>
    <w:multiLevelType w:val="hybridMultilevel"/>
    <w:tmpl w:val="A34E67E8"/>
    <w:lvl w:ilvl="0" w:tplc="94B8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568CF"/>
    <w:multiLevelType w:val="hybridMultilevel"/>
    <w:tmpl w:val="2004C3B8"/>
    <w:lvl w:ilvl="0" w:tplc="B35A375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E308D"/>
    <w:multiLevelType w:val="hybridMultilevel"/>
    <w:tmpl w:val="84AC18A4"/>
    <w:lvl w:ilvl="0" w:tplc="B35A37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F49D6"/>
    <w:multiLevelType w:val="hybridMultilevel"/>
    <w:tmpl w:val="9E0004A2"/>
    <w:lvl w:ilvl="0" w:tplc="46F817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1BB9"/>
    <w:multiLevelType w:val="multilevel"/>
    <w:tmpl w:val="FB78EA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7974CA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274BFF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B30B9A"/>
    <w:multiLevelType w:val="hybridMultilevel"/>
    <w:tmpl w:val="3378DB76"/>
    <w:lvl w:ilvl="0" w:tplc="B35A375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55E026A"/>
    <w:multiLevelType w:val="multilevel"/>
    <w:tmpl w:val="87C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30BA7"/>
    <w:multiLevelType w:val="hybridMultilevel"/>
    <w:tmpl w:val="6BF27EA0"/>
    <w:lvl w:ilvl="0" w:tplc="46F8176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074A6"/>
    <w:multiLevelType w:val="hybridMultilevel"/>
    <w:tmpl w:val="1D00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461"/>
    <w:multiLevelType w:val="hybridMultilevel"/>
    <w:tmpl w:val="B0F06E54"/>
    <w:lvl w:ilvl="0" w:tplc="B35A37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82F2A"/>
    <w:multiLevelType w:val="hybridMultilevel"/>
    <w:tmpl w:val="4FCC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7C3D"/>
    <w:multiLevelType w:val="hybridMultilevel"/>
    <w:tmpl w:val="F458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21E02"/>
    <w:multiLevelType w:val="hybridMultilevel"/>
    <w:tmpl w:val="CB425E54"/>
    <w:lvl w:ilvl="0" w:tplc="7D84A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515C3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D5764A"/>
    <w:multiLevelType w:val="multilevel"/>
    <w:tmpl w:val="7D2C7B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4A1C96"/>
    <w:multiLevelType w:val="multilevel"/>
    <w:tmpl w:val="01E4CDF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E1D21"/>
    <w:multiLevelType w:val="multilevel"/>
    <w:tmpl w:val="6238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124946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FA4DCF"/>
    <w:multiLevelType w:val="multilevel"/>
    <w:tmpl w:val="AC00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486C6C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427D24"/>
    <w:multiLevelType w:val="multilevel"/>
    <w:tmpl w:val="7D2C7B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08711C"/>
    <w:multiLevelType w:val="multilevel"/>
    <w:tmpl w:val="3FB8F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11C87"/>
    <w:multiLevelType w:val="hybridMultilevel"/>
    <w:tmpl w:val="BCC8DC74"/>
    <w:lvl w:ilvl="0" w:tplc="EDDCCA98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7C830BCB"/>
    <w:multiLevelType w:val="multilevel"/>
    <w:tmpl w:val="01E4CDF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4"/>
  </w:num>
  <w:num w:numId="4">
    <w:abstractNumId w:val="6"/>
  </w:num>
  <w:num w:numId="5">
    <w:abstractNumId w:val="22"/>
  </w:num>
  <w:num w:numId="6">
    <w:abstractNumId w:val="7"/>
  </w:num>
  <w:num w:numId="7">
    <w:abstractNumId w:val="20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3"/>
  </w:num>
  <w:num w:numId="13">
    <w:abstractNumId w:val="2"/>
  </w:num>
  <w:num w:numId="14">
    <w:abstractNumId w:val="3"/>
  </w:num>
  <w:num w:numId="15">
    <w:abstractNumId w:val="5"/>
  </w:num>
  <w:num w:numId="16">
    <w:abstractNumId w:val="17"/>
  </w:num>
  <w:num w:numId="17">
    <w:abstractNumId w:val="1"/>
  </w:num>
  <w:num w:numId="18">
    <w:abstractNumId w:val="0"/>
  </w:num>
  <w:num w:numId="19">
    <w:abstractNumId w:val="26"/>
  </w:num>
  <w:num w:numId="20">
    <w:abstractNumId w:val="18"/>
  </w:num>
  <w:num w:numId="21">
    <w:abstractNumId w:val="11"/>
  </w:num>
  <w:num w:numId="22">
    <w:abstractNumId w:val="14"/>
  </w:num>
  <w:num w:numId="23">
    <w:abstractNumId w:val="25"/>
  </w:num>
  <w:num w:numId="24">
    <w:abstractNumId w:val="15"/>
  </w:num>
  <w:num w:numId="25">
    <w:abstractNumId w:val="21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B"/>
    <w:rsid w:val="00204D2D"/>
    <w:rsid w:val="002A1A34"/>
    <w:rsid w:val="003D5A6D"/>
    <w:rsid w:val="004026EC"/>
    <w:rsid w:val="004209F3"/>
    <w:rsid w:val="00476E38"/>
    <w:rsid w:val="004D0D2B"/>
    <w:rsid w:val="00513F20"/>
    <w:rsid w:val="007024C7"/>
    <w:rsid w:val="007A3655"/>
    <w:rsid w:val="007C2DDE"/>
    <w:rsid w:val="008D5B6D"/>
    <w:rsid w:val="00916869"/>
    <w:rsid w:val="00937FEB"/>
    <w:rsid w:val="00A50613"/>
    <w:rsid w:val="00B026AC"/>
    <w:rsid w:val="00B038D2"/>
    <w:rsid w:val="00B978C7"/>
    <w:rsid w:val="00BE0E39"/>
    <w:rsid w:val="00C700D3"/>
    <w:rsid w:val="00EA3DC9"/>
    <w:rsid w:val="00F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557B"/>
  <w15:docId w15:val="{B3C5088D-F03C-4237-80C5-6B30D01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D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D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D0D2B"/>
    <w:rPr>
      <w:color w:val="808080"/>
    </w:rPr>
  </w:style>
  <w:style w:type="paragraph" w:styleId="a7">
    <w:name w:val="List Paragraph"/>
    <w:basedOn w:val="a"/>
    <w:uiPriority w:val="34"/>
    <w:qFormat/>
    <w:rsid w:val="002A1A34"/>
    <w:pPr>
      <w:ind w:left="720"/>
      <w:contextualSpacing/>
    </w:pPr>
  </w:style>
  <w:style w:type="table" w:styleId="a8">
    <w:name w:val="Table Grid"/>
    <w:basedOn w:val="a1"/>
    <w:uiPriority w:val="59"/>
    <w:rsid w:val="003D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4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9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69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4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36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41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4105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289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5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2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7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37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3734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1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62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73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31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39263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9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26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043762">
                                                                          <w:marLeft w:val="3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5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334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38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413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8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007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247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4" w:color="C8C8C8"/>
                                                                                                <w:left w:val="single" w:sz="6" w:space="4" w:color="C8C8C8"/>
                                                                                                <w:bottom w:val="single" w:sz="6" w:space="4" w:color="C8C8C8"/>
                                                                                                <w:right w:val="single" w:sz="6" w:space="4" w:color="C8C8C8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89495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0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09066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4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29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2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28020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5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93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34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09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.makshanow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k.info/main/school/1267-galvanicheskie-elementy-ustroy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yana2</cp:lastModifiedBy>
  <cp:revision>2</cp:revision>
  <dcterms:created xsi:type="dcterms:W3CDTF">2021-01-10T17:47:00Z</dcterms:created>
  <dcterms:modified xsi:type="dcterms:W3CDTF">2021-01-10T17:47:00Z</dcterms:modified>
</cp:coreProperties>
</file>