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03" w:rsidRDefault="00BC7C03" w:rsidP="00BC7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Инновационная деятельность в экономике России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BC7C03" w:rsidRDefault="00BC7C03" w:rsidP="00BC7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C03" w:rsidRDefault="00BC7C03" w:rsidP="00BC7C03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Кириллов, В. В.  История России в 2 ч. Часть 2. ХХ век — начало ХХ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I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 xml:space="preserve"> века. ЭБС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Юрайт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[сайт]. — URL: </w:t>
      </w:r>
      <w:hyperlink r:id="rId5" w:history="1">
        <w:r>
          <w:rPr>
            <w:rStyle w:val="a3"/>
            <w:rFonts w:ascii="Times New Roman" w:eastAsiaTheme="minorHAnsi" w:hAnsi="Times New Roman"/>
            <w:i/>
            <w:sz w:val="28"/>
            <w:szCs w:val="28"/>
          </w:rPr>
          <w:t>https://urait.ru/bcode/45269</w:t>
        </w:r>
      </w:hyperlink>
      <w:r>
        <w:rPr>
          <w:rFonts w:ascii="Times New Roman" w:eastAsiaTheme="minorHAnsi" w:hAnsi="Times New Roman"/>
          <w:i/>
          <w:sz w:val="28"/>
          <w:szCs w:val="28"/>
        </w:rPr>
        <w:t>. § 24.3.</w:t>
      </w:r>
    </w:p>
    <w:p w:rsidR="00BC7C03" w:rsidRDefault="00BC7C03" w:rsidP="00BC7C0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Инновационная деятельность в экономике России.</w:t>
      </w:r>
    </w:p>
    <w:p w:rsidR="00BC7C03" w:rsidRDefault="00BC7C03" w:rsidP="00BC7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 развития инновационной деятельности в России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глобальной экономике динамичное развитие экономики во все большей степени зависит от ее способности внедрять и осваивать передовые технологии, новые рынки, генерировать знания и человеческий капитал. Особенно это актуально для России. В условиях глобализации невозможно совершить «научный, технологический, информационный прорыв» и при этом остаться в стороне от происходящих процессов.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большее число российских экспертов приходят к выводу, что без инновации в России не может быть длительного и мощного экономического подъема. Инновационная деятельность на уровне страны реализуется в рамках национальной инновационной системы (НИС), ориентированной на содействие развитию передовых технологий, НИОКР, повышения качества человеческого капитала. Построение постиндустриальных систем, как показывает опыт развитых стран, начинается с формирования НИС, в основе которых – получение и использование новых знаний. 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большинству показателей, характеризующих уровень развития научно-технического прогресса, Россия уступает не только развитым странам, но и наиболее развивающимся экономикам Индии и Китая. При этом следует отметить, что если по показателям </w:t>
      </w:r>
      <w:proofErr w:type="spellStart"/>
      <w:r>
        <w:rPr>
          <w:rFonts w:ascii="Times New Roman" w:hAnsi="Times New Roman"/>
          <w:sz w:val="28"/>
          <w:szCs w:val="28"/>
        </w:rPr>
        <w:t>наукоемкости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 относительно сопоставима с «инновационными» и наиболее динамично развивающимися экономиками, то по показателям </w:t>
      </w:r>
      <w:proofErr w:type="spellStart"/>
      <w:r>
        <w:rPr>
          <w:rFonts w:ascii="Times New Roman" w:hAnsi="Times New Roman"/>
          <w:sz w:val="28"/>
          <w:szCs w:val="28"/>
        </w:rPr>
        <w:t>наукоотдачи</w:t>
      </w:r>
      <w:proofErr w:type="spellEnd"/>
      <w:r>
        <w:rPr>
          <w:rFonts w:ascii="Times New Roman" w:hAnsi="Times New Roman"/>
          <w:sz w:val="28"/>
          <w:szCs w:val="28"/>
        </w:rPr>
        <w:t xml:space="preserve"> мы значительно отстаем от этих стран. Так, по числу инженеров и ученых мы уступаем лишь США, в то же время следует отметить недостаточное финансирование НИОКР, низкую производительность труда и как следстви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незначительный объем выпускаемой высокотехнологичной продукции. Согласно официальным данным, в среднем инновациями занимаются 10% промышленных предприятий. Сопоставимые показатели для развитых стран – 25 – 30% [21,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.21]. 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 диспропорции в распределении затрат на исследования и разработки по источникам финансирования. В российской экономике роль промышленности в финансировании технологических инноваций составляется всего 30 %, тогда как в развитых странах и странах Юго-Восточной Азии этот показатель примерно в два раза выше. Разработка более 50 % инноваций в России происходит за счет правительстве6нных учреждений, которые не занимаются их практическим внедрением и освоением. Поэтому лишь от 1 до 5 % </w:t>
      </w:r>
      <w:proofErr w:type="gramStart"/>
      <w:r>
        <w:rPr>
          <w:rFonts w:ascii="Times New Roman" w:hAnsi="Times New Roman"/>
          <w:sz w:val="28"/>
          <w:szCs w:val="28"/>
        </w:rPr>
        <w:t>отечественных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НИОКР используются в промышленном производстве. Ежегодные темпы роста валовых внутренних инвестиций на исследования и разработки в России составляют чуть более 4 %, что в целом соответствует уровню. Однако, как свидетельствует мировой опыт, страны «догоняющего развития» в целом должны иметь более высокие темпы роста ВВП, инвестиционной и инновационной активности. Поэтому в данном случае такой показатель свидетельствует о достаточно «вялой» инвестиционной деятельности в инновационной сфере.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 значительный интеллектуальный потенциал отечественных научных кадров. В абсолютном выражении по числу исследователей мы находимся на 4-м </w:t>
      </w:r>
      <w:r>
        <w:rPr>
          <w:rFonts w:ascii="Times New Roman" w:hAnsi="Times New Roman"/>
          <w:sz w:val="28"/>
          <w:szCs w:val="28"/>
        </w:rPr>
        <w:lastRenderedPageBreak/>
        <w:t xml:space="preserve">месте в мире, после абсолютного лидера США, Китая и Японии. Анализ производства отечественной промышленной продукции по видам свидетельствует, что в последние годы увеличивается выпуск продукции, фундаментально проработанной еще в начале прошлого века: грузовые и пассажирские вагоны, электродвигатели, стальные трубы, автомобильные шины, нефть, картон, бензин и т.д. в группе потребительских товаров наблюдается рост выпуска бытовой техники (телевизоры, холодильники, стиральные машины). Однако она </w:t>
      </w:r>
      <w:proofErr w:type="gramStart"/>
      <w:r>
        <w:rPr>
          <w:rFonts w:ascii="Times New Roman" w:hAnsi="Times New Roman"/>
          <w:sz w:val="28"/>
          <w:szCs w:val="28"/>
        </w:rPr>
        <w:t>фактический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производится в России, а собирается из иностранных комплектующих. Кроме того, подавляющая часть этой техники давно устарела в развитых странах 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Сравнительно низкий технологический уровень российской экономики обусловлен не только значительным объемом устаревших производственных фондов, но и недостаточным финансированием российского инновационного сектора. В результате снижается качество образования, происходит отток научных работников за рубеж («утечка мозгов»), утрата целыми отраслями и секторами квалифицированных специалистов. Продолжается также старение научных и научно-технических кадров, углубляется разрыв между начальной и конечной стадиями инновационного цикла. Кроме того, следует отметить наличие незагруженных производственных мощностей в высокотехнологичном комплексе. </w:t>
      </w:r>
      <w:proofErr w:type="gramStart"/>
      <w:r>
        <w:rPr>
          <w:rFonts w:ascii="Times New Roman" w:hAnsi="Times New Roman"/>
          <w:sz w:val="28"/>
          <w:szCs w:val="28"/>
        </w:rPr>
        <w:t>Среднего-</w:t>
      </w:r>
      <w:proofErr w:type="spellStart"/>
      <w:r>
        <w:rPr>
          <w:rFonts w:ascii="Times New Roman" w:hAnsi="Times New Roman"/>
          <w:sz w:val="28"/>
          <w:szCs w:val="28"/>
        </w:rPr>
        <w:t>довые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мощности в авиапроме используются – на 15%, в промышленности средств связи – на 17,6 %, в ракетно-космической индустрии – на 20,5 %. 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отечественного экспорта товаров и услуг на долю промышленных товаров, включая военную технику, приходится лишь 10 %, в то время как сырьевые товары в среднем составляют около 80 %. Российский импорт в основном составляют товары длительного пользования и товары повседневного спроса. Достаточно наглядный пример – сравнение доли машин и оборудования в российском экспорте и импорте. Исходя из статических данных экспорт данной продукции практически в 4 раза меньше импорта.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экспорта подтверждает низкий технико-экономический уровень отечественного производства, углубление инновационного отставания производства от общемировых тенденций. Во многих странах основа экономического роста – это производство и экспорт высокотехнологичных и наукоемких продуктов. Так, свыше 50 % объем экспорта Финляндии, Израиля и других развитых стран составляет наукоемкая продукция. В Индии свыше 10 % экспорта приходится на программное обеспечение.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Крайне низкую технико-экономическую характеристику основного капитала предприятий характеризует показатель возрастной структуры оборудования. Средний возраст оборудования 18 – 20 лет. За последние два года 83 % машин и оборудования списывалось из-за физической изношенности и только 12 % - вследствие своей эффективности. Несмотря на это, инвестиционный спрос предъявляется в основном на компоненты технического оборудования, которые можно заменить без долгосрочных капиталовложений в производственные фонды, т.е. за счет оборотного капитала. За последние четыре года в среднем 20 % общего объема инвестиций в основной капитал составляют затраты на капитальный ремонт. Такая практика в долгосрочной перспективе приведет к экономической и технологической стагнации [21,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.23].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Абсолютные преимущества российской экономики не ограничиваются только богатыми запасами природных ресурсов. Следует отметить достаточно высокий общий образовательный уровень населения. Россия занимает лидирующее положение </w:t>
      </w:r>
      <w:r>
        <w:rPr>
          <w:rFonts w:ascii="Times New Roman" w:hAnsi="Times New Roman"/>
          <w:sz w:val="28"/>
          <w:szCs w:val="28"/>
        </w:rPr>
        <w:lastRenderedPageBreak/>
        <w:t xml:space="preserve">на международном рынке ядерных технологии, космической техники и услуг. Так, доля нашей страны на мировом рынке оборудования и услуг для строительства АЭС составляет 11 %, переработки ядерных отходов - 8 – 9 %, космических запусков – 11 %. Имеются уникальные и конкурентоспособные на мировом рынке разработки и технологии в области химической промышленности, медицины, военной техники.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Инновационную активность в российской экономике, согласно исследованиям, определяют три отрасли: металлургическая, химическая и машиностроение (на их долю приходится до 70 % </w:t>
      </w:r>
      <w:proofErr w:type="spellStart"/>
      <w:r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активных предприятий). </w:t>
      </w:r>
      <w:proofErr w:type="gramEnd"/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рассмотреть потоки иностранных инвестиции, то становится очевидным, что на долю «инновационных» отраслей приходится незначительная часть иностранного финансирования. Из всего объема </w:t>
      </w:r>
      <w:proofErr w:type="gramStart"/>
      <w:r>
        <w:rPr>
          <w:rFonts w:ascii="Times New Roman" w:hAnsi="Times New Roman"/>
          <w:sz w:val="28"/>
          <w:szCs w:val="28"/>
        </w:rPr>
        <w:t>производственных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инвестиции наибольшая доля была направлена на развитие ТЭК, наименьшая - в машиностроение и металлообработку. В целом, иностранные инвестиции как источник финансирования инновационной деятельности по-прежнему не имеют широкого распространения на предприятиях обрабатывающих отраслей промышленности.  </w:t>
      </w:r>
    </w:p>
    <w:p w:rsidR="00BC7C03" w:rsidRDefault="00BC7C03" w:rsidP="00BC7C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структура притока иностранного капитала характеризуется относительно небольшой долей прямых инвестиции при одновременном увеличении доли прочих (ссуд и займов).</w:t>
      </w:r>
    </w:p>
    <w:p w:rsidR="00BC7C03" w:rsidRDefault="00BC7C03" w:rsidP="00BC7C03"/>
    <w:p w:rsidR="00BC7C03" w:rsidRDefault="00BC7C03" w:rsidP="00BC7C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практической работе на тему: Инновационная деятельность в экономике России.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0"/>
      </w:tblGrid>
      <w:tr w:rsidR="00BC7C03" w:rsidTr="00BC7C03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№21.</w:t>
            </w:r>
          </w:p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Вариант.</w:t>
            </w:r>
          </w:p>
          <w:p w:rsidR="00BC7C03" w:rsidRDefault="00BC7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Разновидности инновационной деятельности в РФ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C7C03" w:rsidTr="00BC7C03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№21.</w:t>
            </w:r>
          </w:p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Вариант.</w:t>
            </w:r>
          </w:p>
          <w:p w:rsidR="00BC7C03" w:rsidRDefault="00BC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«Проблемы инновационной деятельности в РФ».</w:t>
            </w:r>
          </w:p>
        </w:tc>
      </w:tr>
      <w:tr w:rsidR="00BC7C03" w:rsidTr="00BC7C03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№21.</w:t>
            </w:r>
          </w:p>
          <w:p w:rsidR="00BC7C03" w:rsidRDefault="00BC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Вариант.</w:t>
            </w:r>
          </w:p>
          <w:p w:rsidR="00BC7C03" w:rsidRDefault="00BC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государственного регулирования инновационной деятельности в РФ».</w:t>
            </w:r>
          </w:p>
        </w:tc>
      </w:tr>
    </w:tbl>
    <w:p w:rsidR="00BC7C03" w:rsidRDefault="00BC7C03" w:rsidP="00BC7C03">
      <w:pPr>
        <w:jc w:val="center"/>
      </w:pPr>
    </w:p>
    <w:p w:rsidR="00BC7C03" w:rsidRPr="00BC7C03" w:rsidRDefault="00BC7C03" w:rsidP="00BC7C03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Срок исполнения: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18.12.2020</w:t>
      </w:r>
    </w:p>
    <w:p w:rsidR="00BC7C03" w:rsidRDefault="00BC7C03" w:rsidP="00BC7C03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BC7C03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BC7C03" w:rsidRDefault="00BC7C03" w:rsidP="00BC7C03">
      <w:pPr>
        <w:jc w:val="center"/>
      </w:pPr>
    </w:p>
    <w:p w:rsidR="00DF7005" w:rsidRDefault="00DF7005"/>
    <w:sectPr w:rsidR="00DF7005" w:rsidSect="00BC7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03"/>
    <w:rsid w:val="00BC7C03"/>
    <w:rsid w:val="00D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C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7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C0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7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265564" TargetMode="External"/><Relationship Id="rId5" Type="http://schemas.openxmlformats.org/officeDocument/2006/relationships/hyperlink" Target="https://urait.ru/bcode/4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2020-12-16T10:40:00Z</dcterms:created>
  <dcterms:modified xsi:type="dcterms:W3CDTF">2020-12-16T10:42:00Z</dcterms:modified>
</cp:coreProperties>
</file>