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8B" w:rsidRPr="009F4CF5" w:rsidRDefault="00AF33C8" w:rsidP="00AF33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3C8">
        <w:rPr>
          <w:rFonts w:ascii="Times New Roman" w:hAnsi="Times New Roman" w:cs="Times New Roman"/>
          <w:sz w:val="28"/>
          <w:szCs w:val="28"/>
        </w:rPr>
        <w:t>Тема 14. Практическая работа № 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CF5">
        <w:rPr>
          <w:rFonts w:ascii="Times New Roman" w:hAnsi="Times New Roman" w:cs="Times New Roman"/>
          <w:b/>
          <w:sz w:val="28"/>
          <w:szCs w:val="28"/>
          <w:u w:val="single"/>
        </w:rPr>
        <w:t>«Изучение работы локомотивного оборудования  АЛСН»</w:t>
      </w:r>
    </w:p>
    <w:p w:rsidR="00416482" w:rsidRPr="00114251" w:rsidRDefault="00416482" w:rsidP="00416482">
      <w:pPr>
        <w:rPr>
          <w:rStyle w:val="js-phone-number"/>
          <w:rFonts w:ascii="Times New Roman" w:hAnsi="Times New Roman" w:cs="Times New Roman"/>
          <w:i/>
          <w:sz w:val="28"/>
          <w:szCs w:val="28"/>
        </w:rPr>
      </w:pPr>
      <w:r w:rsidRPr="00114251">
        <w:rPr>
          <w:rFonts w:ascii="Times New Roman" w:hAnsi="Times New Roman" w:cs="Times New Roman"/>
          <w:i/>
          <w:sz w:val="28"/>
          <w:szCs w:val="28"/>
          <w:u w:val="single"/>
        </w:rPr>
        <w:t>Цель заняти</w:t>
      </w:r>
      <w:proofErr w:type="gramStart"/>
      <w:r w:rsidRPr="00114251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114251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14251">
        <w:rPr>
          <w:rFonts w:ascii="Times New Roman" w:hAnsi="Times New Roman" w:cs="Times New Roman"/>
          <w:i/>
          <w:sz w:val="28"/>
          <w:szCs w:val="28"/>
        </w:rPr>
        <w:t xml:space="preserve"> изучить материал лекции, оформить  отчёт по практической работе </w:t>
      </w:r>
      <w:r w:rsidR="00114251">
        <w:rPr>
          <w:rFonts w:ascii="Times New Roman" w:hAnsi="Times New Roman" w:cs="Times New Roman"/>
          <w:i/>
          <w:sz w:val="28"/>
          <w:szCs w:val="28"/>
        </w:rPr>
        <w:t xml:space="preserve">№4  </w:t>
      </w:r>
      <w:r w:rsidRPr="00114251">
        <w:rPr>
          <w:rFonts w:ascii="Times New Roman" w:hAnsi="Times New Roman" w:cs="Times New Roman"/>
          <w:i/>
          <w:sz w:val="28"/>
          <w:szCs w:val="28"/>
        </w:rPr>
        <w:t xml:space="preserve">и выслать по адресу  </w:t>
      </w:r>
      <w:r w:rsidRPr="00114251">
        <w:rPr>
          <w:rStyle w:val="js-phone-number"/>
          <w:rFonts w:ascii="Times New Roman" w:hAnsi="Times New Roman" w:cs="Times New Roman"/>
          <w:b/>
          <w:i/>
          <w:sz w:val="28"/>
          <w:szCs w:val="28"/>
        </w:rPr>
        <w:t>bogatyr.1942@mail.ru</w:t>
      </w:r>
      <w:r w:rsidRPr="00114251">
        <w:rPr>
          <w:rStyle w:val="js-phone-number"/>
          <w:rFonts w:ascii="Times New Roman" w:hAnsi="Times New Roman" w:cs="Times New Roman"/>
          <w:i/>
          <w:sz w:val="28"/>
          <w:szCs w:val="28"/>
        </w:rPr>
        <w:t xml:space="preserve">    срок до  3.12.2020г </w:t>
      </w:r>
    </w:p>
    <w:p w:rsidR="00416482" w:rsidRPr="00416482" w:rsidRDefault="00416482" w:rsidP="00416482">
      <w:pPr>
        <w:ind w:firstLine="708"/>
        <w:rPr>
          <w:rStyle w:val="js-phone-number"/>
          <w:rFonts w:ascii="Times New Roman" w:hAnsi="Times New Roman" w:cs="Times New Roman"/>
          <w:sz w:val="28"/>
          <w:szCs w:val="28"/>
        </w:rPr>
      </w:pPr>
      <w:r w:rsidRPr="00416482">
        <w:rPr>
          <w:rStyle w:val="js-phone-number"/>
          <w:rFonts w:ascii="Times New Roman" w:hAnsi="Times New Roman" w:cs="Times New Roman"/>
          <w:sz w:val="28"/>
          <w:szCs w:val="28"/>
        </w:rPr>
        <w:t xml:space="preserve">Дополнительную информацию можно найти  в учебнике Кузнецов К.В. и др. «Локомотивные устройства безопасности» М:, ГОУ  УМЦ по образованию </w:t>
      </w:r>
      <w:proofErr w:type="gramStart"/>
      <w:r w:rsidRPr="00416482">
        <w:rPr>
          <w:rStyle w:val="js-phone-number"/>
          <w:rFonts w:ascii="Times New Roman" w:hAnsi="Times New Roman" w:cs="Times New Roman"/>
          <w:sz w:val="28"/>
          <w:szCs w:val="28"/>
        </w:rPr>
        <w:t>на ж</w:t>
      </w:r>
      <w:proofErr w:type="gramEnd"/>
      <w:r w:rsidRPr="00416482">
        <w:rPr>
          <w:rStyle w:val="js-phone-number"/>
          <w:rFonts w:ascii="Times New Roman" w:hAnsi="Times New Roman" w:cs="Times New Roman"/>
          <w:sz w:val="28"/>
          <w:szCs w:val="28"/>
        </w:rPr>
        <w:t>.д. транспорте 2015-474с.     стр. 30-36</w:t>
      </w:r>
    </w:p>
    <w:p w:rsidR="00416482" w:rsidRDefault="00416482" w:rsidP="00416482">
      <w:pPr>
        <w:ind w:firstLine="708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416482">
        <w:rPr>
          <w:rStyle w:val="a4"/>
          <w:b w:val="0"/>
          <w:i/>
          <w:sz w:val="28"/>
          <w:szCs w:val="28"/>
        </w:rPr>
        <w:t xml:space="preserve"> </w:t>
      </w:r>
      <w:r w:rsidRPr="0041648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Подготовиться к защите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по вопросам:</w:t>
      </w:r>
    </w:p>
    <w:p w:rsidR="00416482" w:rsidRDefault="00114251" w:rsidP="004164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отличие АЛСН  от  АЛС-ЕН</w:t>
      </w:r>
    </w:p>
    <w:p w:rsidR="00114251" w:rsidRDefault="00114251" w:rsidP="004164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распределяются  коды по огням светофора.</w:t>
      </w:r>
    </w:p>
    <w:p w:rsidR="00114251" w:rsidRDefault="00114251" w:rsidP="004164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  АЛСН.</w:t>
      </w:r>
    </w:p>
    <w:p w:rsidR="00114251" w:rsidRDefault="00114251" w:rsidP="004164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показаний локомотивного светофора.</w:t>
      </w:r>
    </w:p>
    <w:p w:rsidR="00114251" w:rsidRPr="00114251" w:rsidRDefault="00114251" w:rsidP="001142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4251">
        <w:rPr>
          <w:rStyle w:val="a4"/>
          <w:b w:val="0"/>
          <w:sz w:val="28"/>
          <w:szCs w:val="28"/>
        </w:rPr>
        <w:t>Порядок приемки АЛСН.</w:t>
      </w:r>
    </w:p>
    <w:p w:rsidR="00114251" w:rsidRPr="00114251" w:rsidRDefault="00114251" w:rsidP="004164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251">
        <w:rPr>
          <w:rStyle w:val="a4"/>
          <w:rFonts w:ascii="Times New Roman" w:hAnsi="Times New Roman" w:cs="Times New Roman"/>
          <w:b w:val="0"/>
          <w:sz w:val="28"/>
          <w:szCs w:val="28"/>
        </w:rPr>
        <w:t>Включение устройств АЛСН</w:t>
      </w:r>
    </w:p>
    <w:p w:rsidR="009F4CF5" w:rsidRPr="009F4CF5" w:rsidRDefault="009F4CF5" w:rsidP="009F4CF5">
      <w:pPr>
        <w:pStyle w:val="a3"/>
        <w:ind w:firstLine="708"/>
        <w:rPr>
          <w:sz w:val="28"/>
          <w:szCs w:val="28"/>
        </w:rPr>
      </w:pPr>
      <w:r w:rsidRPr="009F4CF5">
        <w:rPr>
          <w:sz w:val="28"/>
          <w:szCs w:val="28"/>
        </w:rPr>
        <w:t xml:space="preserve">Устройства, информирующие машиниста о состоянии путевых сигналов, независимо от профиля пути и погоды, называются автоматической локомотивной сигнализацией. На железных дорогах в основном применяется АЛСН (АЛСТ </w:t>
      </w:r>
      <w:proofErr w:type="gramStart"/>
      <w:r w:rsidR="00114251">
        <w:rPr>
          <w:sz w:val="28"/>
          <w:szCs w:val="28"/>
        </w:rPr>
        <w:t>)</w:t>
      </w:r>
      <w:r w:rsidRPr="009F4CF5">
        <w:rPr>
          <w:sz w:val="28"/>
          <w:szCs w:val="28"/>
        </w:rPr>
        <w:t>п</w:t>
      </w:r>
      <w:proofErr w:type="gramEnd"/>
      <w:r w:rsidRPr="009F4CF5">
        <w:rPr>
          <w:sz w:val="28"/>
          <w:szCs w:val="28"/>
        </w:rPr>
        <w:t xml:space="preserve">рименяется только на участках, а </w:t>
      </w:r>
      <w:proofErr w:type="spellStart"/>
      <w:r w:rsidRPr="009F4CF5">
        <w:rPr>
          <w:sz w:val="28"/>
          <w:szCs w:val="28"/>
        </w:rPr>
        <w:t>полуавтоблокировкой</w:t>
      </w:r>
      <w:proofErr w:type="spellEnd"/>
      <w:r w:rsidRPr="009F4CF5">
        <w:rPr>
          <w:sz w:val="28"/>
          <w:szCs w:val="28"/>
        </w:rPr>
        <w:t xml:space="preserve">). АЛС-ЕН применяется на участках высокоскоростного движения. Передача сигналов с пути на локомотив осуществляется посредством непрерывной индуктивной связи приемных катушек с рельсовыми цепями, по которым от каждого путевого светофора </w:t>
      </w:r>
      <w:proofErr w:type="gramStart"/>
      <w:r w:rsidRPr="009F4CF5">
        <w:rPr>
          <w:sz w:val="28"/>
          <w:szCs w:val="28"/>
        </w:rPr>
        <w:t>на встречу</w:t>
      </w:r>
      <w:proofErr w:type="gramEnd"/>
      <w:r w:rsidRPr="009F4CF5">
        <w:rPr>
          <w:sz w:val="28"/>
          <w:szCs w:val="28"/>
        </w:rPr>
        <w:t xml:space="preserve"> поезду подается переменный кодированный ток. Для передачи на локомотив нескольких сигнальных показаний используется числовой код, применяемый в системе кодовой числовой блокировки. Коды локомотивной сигнализации представляют собой периодически повторяющиеся комбинации импульсов тока. Зеленому огню соответствуют три импульса в одном цикле, желтому - два импульса, желтому с красным – один импульс в цикле.</w:t>
      </w:r>
      <w:r>
        <w:rPr>
          <w:sz w:val="28"/>
          <w:szCs w:val="28"/>
        </w:rPr>
        <w:t xml:space="preserve">  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sz w:val="28"/>
          <w:szCs w:val="28"/>
        </w:rPr>
        <w:t xml:space="preserve">Все три группы контактов постоянно работают со своими шайбами, но электрически включена только одна группа контактов одной шайбы. Каждый выступ на шайбах имеет определенную ширину, которая определяет длительность включенного состояния </w:t>
      </w:r>
      <w:proofErr w:type="spellStart"/>
      <w:r w:rsidRPr="009F4CF5">
        <w:rPr>
          <w:sz w:val="28"/>
          <w:szCs w:val="28"/>
        </w:rPr>
        <w:t>трансмиттерного</w:t>
      </w:r>
      <w:proofErr w:type="spellEnd"/>
      <w:r w:rsidRPr="009F4CF5">
        <w:rPr>
          <w:sz w:val="28"/>
          <w:szCs w:val="28"/>
        </w:rPr>
        <w:t xml:space="preserve"> реле.</w:t>
      </w:r>
      <w:r>
        <w:rPr>
          <w:sz w:val="28"/>
          <w:szCs w:val="28"/>
        </w:rPr>
        <w:t xml:space="preserve">  </w:t>
      </w:r>
      <w:r w:rsidRPr="009F4CF5">
        <w:rPr>
          <w:sz w:val="28"/>
          <w:szCs w:val="28"/>
        </w:rPr>
        <w:t>Вторичная обмотка путевого трансформатора подает в рельсовую цепь напряжение 12 вольт. Стыки каждого блок - участка вначале и в конце отделяются изоляцией, а внутри дополняются шунтами.</w:t>
      </w:r>
    </w:p>
    <w:p w:rsidR="009F4CF5" w:rsidRPr="009F4CF5" w:rsidRDefault="009F4CF5" w:rsidP="009F4CF5">
      <w:pPr>
        <w:pStyle w:val="a3"/>
        <w:rPr>
          <w:sz w:val="28"/>
          <w:szCs w:val="28"/>
          <w:u w:val="single"/>
        </w:rPr>
      </w:pPr>
      <w:r w:rsidRPr="009F4CF5">
        <w:rPr>
          <w:rStyle w:val="a4"/>
          <w:b w:val="0"/>
          <w:sz w:val="28"/>
          <w:szCs w:val="28"/>
          <w:u w:val="single"/>
        </w:rPr>
        <w:t>К локомотивным устройствам относятся: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приемные катушки А-91, соединенные последовательно, принимают кодовые импульсы от рельсовой цепи и передают их на усилитель. На тепловозах и электровозах применяются катушки с разными электрическими характеристиками.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proofErr w:type="gramStart"/>
      <w:r w:rsidRPr="009F4CF5">
        <w:rPr>
          <w:rStyle w:val="a4"/>
          <w:b w:val="0"/>
          <w:sz w:val="28"/>
          <w:szCs w:val="28"/>
        </w:rPr>
        <w:lastRenderedPageBreak/>
        <w:t>- усилитель УК-25/50 усиливает мощность принятых импульсов, поступающих от приемных катушек, преобразует переменный ток в постоянный и посылает его в дешифратор.</w:t>
      </w:r>
      <w:proofErr w:type="gramEnd"/>
      <w:r w:rsidRPr="009F4CF5">
        <w:rPr>
          <w:rStyle w:val="a4"/>
          <w:b w:val="0"/>
          <w:sz w:val="28"/>
          <w:szCs w:val="28"/>
        </w:rPr>
        <w:t xml:space="preserve"> Усиление напряжения с 0,2 вольта до 50 вольт.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 xml:space="preserve">- дешифратор ДКСВ-1 расшифровывает импульсный код, включает на локомотивном светофоре сигнальный огонь и управляет работой автостопа. Имеет три схемных блока: узел реле счетчиков, узел сигнальных реле, узел АЛСН, который увязывает дешифратор с ЭПК, </w:t>
      </w:r>
      <w:proofErr w:type="spellStart"/>
      <w:r w:rsidRPr="009F4CF5">
        <w:rPr>
          <w:rStyle w:val="a4"/>
          <w:b w:val="0"/>
          <w:sz w:val="28"/>
          <w:szCs w:val="28"/>
        </w:rPr>
        <w:t>скоростемером</w:t>
      </w:r>
      <w:proofErr w:type="spellEnd"/>
      <w:r w:rsidRPr="009F4CF5">
        <w:rPr>
          <w:rStyle w:val="a4"/>
          <w:b w:val="0"/>
          <w:sz w:val="28"/>
          <w:szCs w:val="28"/>
        </w:rPr>
        <w:t>, РБ.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 xml:space="preserve">- </w:t>
      </w:r>
      <w:proofErr w:type="spellStart"/>
      <w:r w:rsidRPr="009F4CF5">
        <w:rPr>
          <w:rStyle w:val="a4"/>
          <w:b w:val="0"/>
          <w:sz w:val="28"/>
          <w:szCs w:val="28"/>
        </w:rPr>
        <w:t>скоростемер</w:t>
      </w:r>
      <w:proofErr w:type="spellEnd"/>
      <w:r w:rsidRPr="009F4CF5">
        <w:rPr>
          <w:rStyle w:val="a4"/>
          <w:b w:val="0"/>
          <w:sz w:val="28"/>
          <w:szCs w:val="28"/>
        </w:rPr>
        <w:t xml:space="preserve"> обеспечивает действие автостопа в случаях превышения скоростей, а также регистрирует на </w:t>
      </w:r>
      <w:proofErr w:type="spellStart"/>
      <w:r w:rsidRPr="009F4CF5">
        <w:rPr>
          <w:rStyle w:val="a4"/>
          <w:b w:val="0"/>
          <w:sz w:val="28"/>
          <w:szCs w:val="28"/>
        </w:rPr>
        <w:t>скоростемерной</w:t>
      </w:r>
      <w:proofErr w:type="spellEnd"/>
      <w:r w:rsidRPr="009F4CF5">
        <w:rPr>
          <w:rStyle w:val="a4"/>
          <w:b w:val="0"/>
          <w:sz w:val="28"/>
          <w:szCs w:val="28"/>
        </w:rPr>
        <w:t xml:space="preserve"> ленте показания локомотивного светофора.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электропневматический клапан (ЭПК) - выполняет экстренное торможение по команде АЛСН.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рукоятка бдительности (РБ-70)-служит для подтверждения машинистом своей бдительности и предупреждения принудительного торможения автостопом.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-локомотивный светофор имеет следующие значения: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Зеленый огонь - на путевом светофоре зеленый огонь (желтый мигающий, зеленый мигающий).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Желтый огонь - на путевом светофоре желтый огонь (или любой другой сигнал, показывающий отклонение на боковой путь).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Желтый огонь с красным - на путевом светофоре красный огонь.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 xml:space="preserve">Красный огонь - появляется после проезда закрытого путевого светофора или </w:t>
      </w:r>
      <w:proofErr w:type="gramStart"/>
      <w:r w:rsidRPr="009F4CF5">
        <w:rPr>
          <w:rStyle w:val="a4"/>
          <w:b w:val="0"/>
          <w:sz w:val="28"/>
          <w:szCs w:val="28"/>
        </w:rPr>
        <w:t>отсутствии</w:t>
      </w:r>
      <w:proofErr w:type="gramEnd"/>
      <w:r w:rsidRPr="009F4CF5">
        <w:rPr>
          <w:rStyle w:val="a4"/>
          <w:b w:val="0"/>
          <w:sz w:val="28"/>
          <w:szCs w:val="28"/>
        </w:rPr>
        <w:t xml:space="preserve"> кодов.</w:t>
      </w:r>
    </w:p>
    <w:p w:rsidR="009F4CF5" w:rsidRPr="009F4CF5" w:rsidRDefault="009F4CF5" w:rsidP="009F4CF5">
      <w:pPr>
        <w:pStyle w:val="a3"/>
        <w:rPr>
          <w:sz w:val="28"/>
          <w:szCs w:val="28"/>
          <w:u w:val="single"/>
        </w:rPr>
      </w:pPr>
      <w:r w:rsidRPr="009F4CF5">
        <w:rPr>
          <w:rStyle w:val="a4"/>
          <w:b w:val="0"/>
          <w:sz w:val="28"/>
          <w:szCs w:val="28"/>
          <w:u w:val="single"/>
        </w:rPr>
        <w:t>Порядок приемки АЛСН.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При приемке локомотива (МВПС) машинист обязан убедиться в наличии штампа-справки на право пользования АЛСН, наличие и целостности пломб на них.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При приемке локомотива (МВПС) в пунктах смены бригад принимающий и сдающий машинисты расписываются в ТУ-152 об исправности АЛСН.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Машинист, принявший локомотив, должен: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следить за сохранностью устройств, пломб;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проверять при осмотре локомотива надежность крепления устройств АЛСН;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своевременно докладывать об обнаруженных в пути следования неисправностях поездному диспетчеру (дежурной по станции), а по прибытии в депо – дежурному по депо с записью в ТУ-152.</w:t>
      </w:r>
    </w:p>
    <w:p w:rsidR="009F4CF5" w:rsidRPr="009F4CF5" w:rsidRDefault="009F4CF5" w:rsidP="009F4CF5">
      <w:pPr>
        <w:pStyle w:val="a3"/>
        <w:rPr>
          <w:sz w:val="28"/>
          <w:szCs w:val="28"/>
          <w:u w:val="single"/>
        </w:rPr>
      </w:pPr>
      <w:r w:rsidRPr="009F4CF5">
        <w:rPr>
          <w:rStyle w:val="a4"/>
          <w:b w:val="0"/>
          <w:sz w:val="28"/>
          <w:szCs w:val="28"/>
          <w:u w:val="single"/>
        </w:rPr>
        <w:t>Включение устройств АЛСН.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lastRenderedPageBreak/>
        <w:t>- давление воздуха в главных резервуарах должно быть не менее 7 кг/см кв. Краны, соединяющие ЭПК с ТМ и ГР, находятся в открытом состоянии;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включить электропитание АЛСН;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установить рукоятку направления в положение, соответствующие направлению движения;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включить ЭПК поворотом ключа влево и нажать РБ;</w:t>
      </w:r>
    </w:p>
    <w:p w:rsidR="009F4CF5" w:rsidRPr="009F4CF5" w:rsidRDefault="009F4CF5" w:rsidP="009F4CF5">
      <w:pPr>
        <w:pStyle w:val="a3"/>
        <w:rPr>
          <w:sz w:val="28"/>
          <w:szCs w:val="28"/>
        </w:rPr>
      </w:pPr>
      <w:r w:rsidRPr="009F4CF5">
        <w:rPr>
          <w:rStyle w:val="a4"/>
          <w:b w:val="0"/>
          <w:sz w:val="28"/>
          <w:szCs w:val="28"/>
        </w:rPr>
        <w:t>- поставить тумблер частот в соответствующее положение;</w:t>
      </w:r>
    </w:p>
    <w:p w:rsidR="009F4CF5" w:rsidRPr="009F4CF5" w:rsidRDefault="00114251" w:rsidP="009F4CF5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проверить на </w:t>
      </w:r>
      <w:r w:rsidR="009F4CF5" w:rsidRPr="009F4CF5">
        <w:rPr>
          <w:rStyle w:val="a4"/>
          <w:b w:val="0"/>
          <w:sz w:val="28"/>
          <w:szCs w:val="28"/>
        </w:rPr>
        <w:t xml:space="preserve"> СЛ-2М регистрацию включения.</w:t>
      </w:r>
    </w:p>
    <w:p w:rsidR="00AF33C8" w:rsidRPr="009F4CF5" w:rsidRDefault="00AF33C8" w:rsidP="00AF33C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F33C8" w:rsidRPr="009F4CF5" w:rsidSect="00AF3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11CC"/>
    <w:multiLevelType w:val="hybridMultilevel"/>
    <w:tmpl w:val="0ED41C52"/>
    <w:lvl w:ilvl="0" w:tplc="71182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3C8"/>
    <w:rsid w:val="00114251"/>
    <w:rsid w:val="00416482"/>
    <w:rsid w:val="009F4CF5"/>
    <w:rsid w:val="00A4601E"/>
    <w:rsid w:val="00AF33C8"/>
    <w:rsid w:val="00BD008B"/>
    <w:rsid w:val="00B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CF5"/>
    <w:rPr>
      <w:b/>
      <w:bCs/>
    </w:rPr>
  </w:style>
  <w:style w:type="character" w:customStyle="1" w:styleId="js-phone-number">
    <w:name w:val="js-phone-number"/>
    <w:basedOn w:val="a0"/>
    <w:rsid w:val="00416482"/>
  </w:style>
  <w:style w:type="paragraph" w:styleId="a5">
    <w:name w:val="List Paragraph"/>
    <w:basedOn w:val="a"/>
    <w:uiPriority w:val="34"/>
    <w:qFormat/>
    <w:rsid w:val="00416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2020-11-16T16:33:00Z</dcterms:created>
  <dcterms:modified xsi:type="dcterms:W3CDTF">2020-11-18T13:13:00Z</dcterms:modified>
</cp:coreProperties>
</file>